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9BD" w:rsidRDefault="00C539BD">
      <w:pPr>
        <w:pStyle w:val="Cuerpo"/>
        <w:jc w:val="center"/>
        <w:rPr>
          <w:rFonts w:ascii="Arial" w:eastAsia="Arial" w:hAnsi="Arial" w:cs="Arial"/>
          <w:b/>
          <w:bCs/>
        </w:rPr>
      </w:pPr>
    </w:p>
    <w:p w:rsidR="0071021A" w:rsidRDefault="0071021A">
      <w:pPr>
        <w:pStyle w:val="Cuerpo"/>
        <w:jc w:val="center"/>
        <w:rPr>
          <w:rFonts w:ascii="Arial" w:eastAsia="Arial" w:hAnsi="Arial" w:cs="Arial"/>
          <w:b/>
          <w:bCs/>
        </w:rPr>
      </w:pPr>
    </w:p>
    <w:p w:rsidR="0071021A" w:rsidRPr="0071021A" w:rsidRDefault="0071021A">
      <w:pPr>
        <w:pStyle w:val="Cuerpo"/>
        <w:jc w:val="center"/>
        <w:rPr>
          <w:rFonts w:ascii="Tahoma" w:eastAsia="Arial" w:hAnsi="Tahoma" w:cs="Tahoma"/>
          <w:b/>
          <w:bCs/>
        </w:rPr>
      </w:pPr>
    </w:p>
    <w:p w:rsidR="00C539BD" w:rsidRPr="0071021A" w:rsidRDefault="00DE0E26">
      <w:pPr>
        <w:pStyle w:val="Cuerpo"/>
        <w:jc w:val="center"/>
        <w:rPr>
          <w:rFonts w:ascii="Tahoma" w:eastAsia="Arial" w:hAnsi="Tahoma" w:cs="Tahoma"/>
          <w:b/>
          <w:bCs/>
        </w:rPr>
      </w:pPr>
      <w:r w:rsidRPr="0071021A">
        <w:rPr>
          <w:rFonts w:ascii="Tahoma" w:hAnsi="Tahoma" w:cs="Tahoma"/>
          <w:b/>
          <w:bCs/>
          <w:lang w:val="pt-PT"/>
        </w:rPr>
        <w:t>PROPOSICI</w:t>
      </w:r>
      <w:r w:rsidR="0071021A" w:rsidRPr="0071021A">
        <w:rPr>
          <w:rFonts w:ascii="Tahoma" w:hAnsi="Tahoma" w:cs="Tahoma"/>
          <w:b/>
          <w:bCs/>
          <w:lang w:val="pt-PT"/>
        </w:rPr>
        <w:t>Ó</w:t>
      </w:r>
      <w:r w:rsidRPr="0071021A">
        <w:rPr>
          <w:rFonts w:ascii="Tahoma" w:hAnsi="Tahoma" w:cs="Tahoma"/>
          <w:b/>
          <w:bCs/>
        </w:rPr>
        <w:t xml:space="preserve">N </w:t>
      </w:r>
      <w:r w:rsidR="0002105F">
        <w:rPr>
          <w:rFonts w:ascii="Tahoma" w:hAnsi="Tahoma" w:cs="Tahoma"/>
          <w:b/>
          <w:bCs/>
        </w:rPr>
        <w:t>MODIFICA</w:t>
      </w:r>
      <w:r w:rsidRPr="0071021A">
        <w:rPr>
          <w:rFonts w:ascii="Tahoma" w:hAnsi="Tahoma" w:cs="Tahoma"/>
          <w:b/>
          <w:bCs/>
        </w:rPr>
        <w:t>TIVA</w:t>
      </w:r>
    </w:p>
    <w:p w:rsidR="00C539BD" w:rsidRPr="0071021A" w:rsidRDefault="00C539BD">
      <w:pPr>
        <w:pStyle w:val="Cuerpo"/>
        <w:jc w:val="both"/>
        <w:rPr>
          <w:rFonts w:ascii="Tahoma" w:eastAsia="Arial" w:hAnsi="Tahoma" w:cs="Tahoma"/>
        </w:rPr>
      </w:pPr>
    </w:p>
    <w:p w:rsidR="00C539BD" w:rsidRPr="0071021A" w:rsidRDefault="0002105F">
      <w:pPr>
        <w:pStyle w:val="Cuerpo"/>
        <w:jc w:val="both"/>
        <w:rPr>
          <w:rFonts w:ascii="Tahoma" w:eastAsia="Arial" w:hAnsi="Tahoma" w:cs="Tahoma"/>
        </w:rPr>
      </w:pPr>
      <w:r>
        <w:rPr>
          <w:rFonts w:ascii="Tahoma" w:hAnsi="Tahoma" w:cs="Tahoma"/>
        </w:rPr>
        <w:t>Modifique</w:t>
      </w:r>
      <w:bookmarkStart w:id="0" w:name="_GoBack"/>
      <w:bookmarkEnd w:id="0"/>
      <w:r w:rsidR="00DE0E26" w:rsidRPr="0071021A">
        <w:rPr>
          <w:rFonts w:ascii="Tahoma" w:hAnsi="Tahoma" w:cs="Tahoma"/>
          <w:lang w:val="it-IT"/>
        </w:rPr>
        <w:t xml:space="preserve">se </w:t>
      </w:r>
      <w:r>
        <w:rPr>
          <w:rFonts w:ascii="Tahoma" w:hAnsi="Tahoma" w:cs="Tahoma"/>
          <w:lang w:val="it-IT"/>
        </w:rPr>
        <w:t>el</w:t>
      </w:r>
      <w:r w:rsidR="00DE0E26" w:rsidRPr="0071021A">
        <w:rPr>
          <w:rFonts w:ascii="Tahoma" w:hAnsi="Tahoma" w:cs="Tahoma"/>
          <w:lang w:val="it-IT"/>
        </w:rPr>
        <w:t xml:space="preserve"> </w:t>
      </w:r>
      <w:r w:rsidR="0071021A">
        <w:rPr>
          <w:rFonts w:ascii="Tahoma" w:hAnsi="Tahoma" w:cs="Tahoma"/>
          <w:lang w:val="it-IT"/>
        </w:rPr>
        <w:t>inciso</w:t>
      </w:r>
      <w:r w:rsidR="00DE0E26" w:rsidRPr="0071021A">
        <w:rPr>
          <w:rFonts w:ascii="Tahoma" w:hAnsi="Tahoma" w:cs="Tahoma"/>
          <w:lang w:val="es-ES_tradnl"/>
        </w:rPr>
        <w:t xml:space="preserve"> </w:t>
      </w:r>
      <w:r>
        <w:rPr>
          <w:rFonts w:ascii="Tahoma" w:hAnsi="Tahoma" w:cs="Tahoma"/>
          <w:lang w:val="es-ES_tradnl"/>
        </w:rPr>
        <w:t>final de</w:t>
      </w:r>
      <w:r w:rsidR="00DE0E26" w:rsidRPr="0071021A">
        <w:rPr>
          <w:rFonts w:ascii="Tahoma" w:hAnsi="Tahoma" w:cs="Tahoma"/>
          <w:lang w:val="es-ES_tradnl"/>
        </w:rPr>
        <w:t xml:space="preserve">l </w:t>
      </w:r>
      <w:r w:rsidR="0071021A">
        <w:rPr>
          <w:rFonts w:ascii="Tahoma" w:hAnsi="Tahoma" w:cs="Tahoma"/>
          <w:lang w:val="es-ES_tradnl"/>
        </w:rPr>
        <w:t>artículo 2</w:t>
      </w:r>
      <w:r w:rsidR="00BB4567">
        <w:rPr>
          <w:rFonts w:ascii="Tahoma" w:hAnsi="Tahoma" w:cs="Tahoma"/>
          <w:lang w:val="es-ES_tradnl"/>
        </w:rPr>
        <w:t>9</w:t>
      </w:r>
      <w:r w:rsidR="0071021A">
        <w:rPr>
          <w:rFonts w:ascii="Tahoma" w:hAnsi="Tahoma" w:cs="Tahoma"/>
          <w:lang w:val="es-ES_tradnl"/>
        </w:rPr>
        <w:t xml:space="preserve"> del </w:t>
      </w:r>
      <w:r w:rsidR="00DE0E26" w:rsidRPr="0071021A">
        <w:rPr>
          <w:rFonts w:ascii="Tahoma" w:hAnsi="Tahoma" w:cs="Tahoma"/>
          <w:lang w:val="es-ES_tradnl"/>
        </w:rPr>
        <w:t xml:space="preserve">Proyecto de Ley No. </w:t>
      </w:r>
      <w:r w:rsidR="0071021A" w:rsidRPr="0071021A">
        <w:rPr>
          <w:rFonts w:ascii="Tahoma" w:hAnsi="Tahoma" w:cs="Tahoma"/>
          <w:lang w:val="es-ES_tradnl"/>
        </w:rPr>
        <w:t xml:space="preserve">No 280 de 2020 Cámara – 158 de 2020 senado “Por medio de la cual se dictan disposiciones en materia de vivienda y </w:t>
      </w:r>
      <w:proofErr w:type="spellStart"/>
      <w:r w:rsidR="0071021A" w:rsidRPr="0071021A">
        <w:rPr>
          <w:rFonts w:ascii="Tahoma" w:hAnsi="Tahoma" w:cs="Tahoma"/>
          <w:lang w:val="es-ES_tradnl"/>
        </w:rPr>
        <w:t>hábitat</w:t>
      </w:r>
      <w:proofErr w:type="spellEnd"/>
      <w:r w:rsidR="0071021A" w:rsidRPr="0071021A">
        <w:rPr>
          <w:rFonts w:ascii="Tahoma" w:hAnsi="Tahoma" w:cs="Tahoma"/>
          <w:lang w:val="es-ES_tradnl"/>
        </w:rPr>
        <w:t>”,</w:t>
      </w:r>
      <w:r w:rsidR="0071021A">
        <w:rPr>
          <w:rFonts w:ascii="Tahoma" w:hAnsi="Tahoma" w:cs="Tahoma"/>
          <w:lang w:val="es-ES_tradnl"/>
        </w:rPr>
        <w:t xml:space="preserve"> en cual quedará </w:t>
      </w:r>
      <w:r w:rsidR="00DE0E26" w:rsidRPr="0071021A">
        <w:rPr>
          <w:rFonts w:ascii="Tahoma" w:hAnsi="Tahoma" w:cs="Tahoma"/>
          <w:lang w:val="en-US"/>
        </w:rPr>
        <w:t>as</w:t>
      </w:r>
      <w:r w:rsidR="00DE0E26" w:rsidRPr="0071021A">
        <w:rPr>
          <w:rFonts w:ascii="Tahoma" w:hAnsi="Tahoma" w:cs="Tahoma"/>
          <w:lang w:val="es-ES_tradnl"/>
        </w:rPr>
        <w:t>í</w:t>
      </w:r>
      <w:r w:rsidR="00DE0E26" w:rsidRPr="0071021A">
        <w:rPr>
          <w:rFonts w:ascii="Tahoma" w:hAnsi="Tahoma" w:cs="Tahoma"/>
        </w:rPr>
        <w:t>:</w:t>
      </w:r>
    </w:p>
    <w:p w:rsidR="00C539BD" w:rsidRPr="0071021A" w:rsidRDefault="00C539BD">
      <w:pPr>
        <w:pStyle w:val="Cuerpo"/>
        <w:jc w:val="both"/>
        <w:rPr>
          <w:rFonts w:ascii="Tahoma" w:eastAsia="Arial" w:hAnsi="Tahoma" w:cs="Tahoma"/>
        </w:rPr>
      </w:pPr>
    </w:p>
    <w:p w:rsidR="00BB4567" w:rsidRDefault="00BB4567" w:rsidP="00BB4567">
      <w:pPr>
        <w:pStyle w:val="Cuerpo"/>
        <w:jc w:val="both"/>
        <w:rPr>
          <w:rFonts w:ascii="Tahoma" w:hAnsi="Tahoma" w:cs="Tahoma"/>
          <w:bCs/>
          <w:lang w:val="de-DE"/>
        </w:rPr>
      </w:pPr>
      <w:r w:rsidRPr="00BB4567">
        <w:rPr>
          <w:rFonts w:ascii="Tahoma" w:hAnsi="Tahoma" w:cs="Tahoma"/>
          <w:b/>
          <w:bCs/>
          <w:lang w:val="de-DE"/>
        </w:rPr>
        <w:t xml:space="preserve">ARTÍCULO 29. ACTUACIÓN URBANÍSTICA. </w:t>
      </w:r>
      <w:r w:rsidRPr="00BB4567">
        <w:rPr>
          <w:rFonts w:ascii="Tahoma" w:hAnsi="Tahoma" w:cs="Tahoma"/>
          <w:bCs/>
          <w:lang w:val="de-DE"/>
        </w:rPr>
        <w:t>Modifíquese el artículo 36° de la Ley 388 de 1997, el cual quedará así:</w:t>
      </w:r>
    </w:p>
    <w:p w:rsidR="00BB4567" w:rsidRPr="00BB4567" w:rsidRDefault="00BB4567" w:rsidP="00BB4567">
      <w:pPr>
        <w:pStyle w:val="Cuerpo"/>
        <w:jc w:val="both"/>
        <w:rPr>
          <w:rFonts w:ascii="Tahoma" w:hAnsi="Tahoma" w:cs="Tahoma"/>
          <w:bCs/>
          <w:lang w:val="de-DE"/>
        </w:rPr>
      </w:pPr>
    </w:p>
    <w:p w:rsidR="00BB4567" w:rsidRDefault="00BB4567" w:rsidP="00BB4567">
      <w:pPr>
        <w:pStyle w:val="Cuerpo"/>
        <w:jc w:val="both"/>
        <w:rPr>
          <w:rFonts w:ascii="Tahoma" w:hAnsi="Tahoma" w:cs="Tahoma"/>
          <w:bCs/>
          <w:lang w:val="de-DE"/>
        </w:rPr>
      </w:pPr>
      <w:r w:rsidRPr="00BB4567">
        <w:rPr>
          <w:rFonts w:ascii="Tahoma" w:hAnsi="Tahoma" w:cs="Tahoma"/>
          <w:bCs/>
          <w:lang w:val="de-DE"/>
        </w:rPr>
        <w:t>“Artículo 36°. Actuación urbanística. Son actuaciones urbanísticas la parcelación, urbanización y construcción de inmuebles. Cada una de estas actuaciones comprenden procedimientos de gestión y formas de ejecución con base en las decisiones administrativas contenidas en la acción urbanística, de acuerdo con los contenidos y criterios de prevalencia establecidos en los artículos 13, 15, 16 y 17 y demás disposiciones de la presente ley.</w:t>
      </w:r>
    </w:p>
    <w:p w:rsidR="00BB4567" w:rsidRPr="00BB4567" w:rsidRDefault="00BB4567" w:rsidP="00BB4567">
      <w:pPr>
        <w:pStyle w:val="Cuerpo"/>
        <w:jc w:val="both"/>
        <w:rPr>
          <w:rFonts w:ascii="Tahoma" w:hAnsi="Tahoma" w:cs="Tahoma"/>
          <w:bCs/>
          <w:lang w:val="de-DE"/>
        </w:rPr>
      </w:pPr>
    </w:p>
    <w:p w:rsidR="00BB4567" w:rsidRDefault="00BB4567" w:rsidP="00BB4567">
      <w:pPr>
        <w:pStyle w:val="Cuerpo"/>
        <w:jc w:val="both"/>
        <w:rPr>
          <w:rFonts w:ascii="Tahoma" w:hAnsi="Tahoma" w:cs="Tahoma"/>
          <w:bCs/>
          <w:lang w:val="de-DE"/>
        </w:rPr>
      </w:pPr>
      <w:r w:rsidRPr="00BB4567">
        <w:rPr>
          <w:rFonts w:ascii="Tahoma" w:hAnsi="Tahoma" w:cs="Tahoma"/>
          <w:bCs/>
          <w:lang w:val="de-DE"/>
        </w:rPr>
        <w:t>Los actos administrativos de contenido particular y concreto en firme que autorizan las actuaciones urbanísticas consolidan situaciones jurídicas en cabeza de sus titulares y, los derechos y las obligaciones contenidos en ellas. La autoridad municipal o distrital competente deberá respetar los derechos y obligaciones que se derivan de tales actos.</w:t>
      </w:r>
    </w:p>
    <w:p w:rsidR="00BB4567" w:rsidRPr="00BB4567" w:rsidRDefault="00BB4567" w:rsidP="00BB4567">
      <w:pPr>
        <w:pStyle w:val="Cuerpo"/>
        <w:jc w:val="both"/>
        <w:rPr>
          <w:rFonts w:ascii="Tahoma" w:hAnsi="Tahoma" w:cs="Tahoma"/>
          <w:bCs/>
          <w:lang w:val="de-DE"/>
        </w:rPr>
      </w:pPr>
    </w:p>
    <w:p w:rsidR="00BB4567" w:rsidRDefault="00BB4567" w:rsidP="00BB4567">
      <w:pPr>
        <w:pStyle w:val="Cuerpo"/>
        <w:jc w:val="both"/>
        <w:rPr>
          <w:rFonts w:ascii="Tahoma" w:hAnsi="Tahoma" w:cs="Tahoma"/>
          <w:bCs/>
          <w:lang w:val="de-DE"/>
        </w:rPr>
      </w:pPr>
      <w:r w:rsidRPr="00BB4567">
        <w:rPr>
          <w:rFonts w:ascii="Tahoma" w:hAnsi="Tahoma" w:cs="Tahoma"/>
          <w:bCs/>
          <w:lang w:val="de-DE"/>
        </w:rPr>
        <w:t>Son actos administrativos de contenido particular y concreto las licencias de parcelación, urbanización, construcción y demás establecidas por la normatividad nacional.</w:t>
      </w:r>
    </w:p>
    <w:p w:rsidR="00BB4567" w:rsidRPr="00BB4567" w:rsidRDefault="00BB4567" w:rsidP="00BB4567">
      <w:pPr>
        <w:pStyle w:val="Cuerpo"/>
        <w:jc w:val="both"/>
        <w:rPr>
          <w:rFonts w:ascii="Tahoma" w:hAnsi="Tahoma" w:cs="Tahoma"/>
          <w:bCs/>
          <w:lang w:val="de-DE"/>
        </w:rPr>
      </w:pPr>
    </w:p>
    <w:p w:rsidR="00BB4567" w:rsidRDefault="00BB4567" w:rsidP="00BB4567">
      <w:pPr>
        <w:pStyle w:val="Cuerpo"/>
        <w:jc w:val="both"/>
        <w:rPr>
          <w:rFonts w:ascii="Tahoma" w:hAnsi="Tahoma" w:cs="Tahoma"/>
          <w:bCs/>
          <w:lang w:val="de-DE"/>
        </w:rPr>
      </w:pPr>
      <w:r w:rsidRPr="00BB4567">
        <w:rPr>
          <w:rFonts w:ascii="Tahoma" w:hAnsi="Tahoma" w:cs="Tahoma"/>
          <w:bCs/>
          <w:lang w:val="de-DE"/>
        </w:rPr>
        <w:t>Cuando por efectos de la regulación de las diferentes actuaciones urbanísticas los municipios, distritos y las áreas metropolitanas deban realizar acciones urbanísticas que generen mayor valor para los inmuebles, quedan autorizados a establecer la participación en plusvalía en los términos que se establecen en la presente ley. Igualmente, las normas urbanísticas establecerán específicamente los casos en que las actuaciones urbanísticas deberán ejecutarse mediante la utilización del reparto de cargas y beneficios tal como se determina en el artículo 38 de esta ley.</w:t>
      </w:r>
    </w:p>
    <w:p w:rsidR="00BB4567" w:rsidRPr="00BB4567" w:rsidRDefault="00BB4567" w:rsidP="00BB4567">
      <w:pPr>
        <w:pStyle w:val="Cuerpo"/>
        <w:jc w:val="both"/>
        <w:rPr>
          <w:rFonts w:ascii="Tahoma" w:hAnsi="Tahoma" w:cs="Tahoma"/>
          <w:bCs/>
          <w:lang w:val="de-DE"/>
        </w:rPr>
      </w:pPr>
    </w:p>
    <w:p w:rsidR="00BB4567" w:rsidRDefault="00BB4567" w:rsidP="00BB4567">
      <w:pPr>
        <w:pStyle w:val="Cuerpo"/>
        <w:jc w:val="both"/>
        <w:rPr>
          <w:rFonts w:ascii="Tahoma" w:hAnsi="Tahoma" w:cs="Tahoma"/>
          <w:bCs/>
          <w:lang w:val="de-DE"/>
        </w:rPr>
      </w:pPr>
      <w:r w:rsidRPr="00BB4567">
        <w:rPr>
          <w:rFonts w:ascii="Tahoma" w:hAnsi="Tahoma" w:cs="Tahoma"/>
          <w:bCs/>
          <w:lang w:val="de-DE"/>
        </w:rPr>
        <w:t>En los programas, proyectos y obras que deban ejecutar las entidades públicas, como consecuencia de las actuaciones urbanísticas previstas en los planes de ordenamiento o en los instrumentos que los desarrollen, las entidades municipales y distritales competentes, sin perjuicio de su realización material por particulares, podrán crear entidades especiales de carácter público o mixto para la ejecución de tales  actuaciones, de conformidad con las normas legales generales y con las especiales contenidas en la presente Ley y en la Ley 142 de 1994.</w:t>
      </w:r>
    </w:p>
    <w:p w:rsidR="00BB4567" w:rsidRPr="00BB4567" w:rsidRDefault="00BB4567" w:rsidP="00BB4567">
      <w:pPr>
        <w:pStyle w:val="Cuerpo"/>
        <w:jc w:val="both"/>
        <w:rPr>
          <w:rFonts w:ascii="Tahoma" w:hAnsi="Tahoma" w:cs="Tahoma"/>
          <w:bCs/>
          <w:lang w:val="de-DE"/>
        </w:rPr>
      </w:pPr>
    </w:p>
    <w:p w:rsidR="0071021A" w:rsidRDefault="00BB4567" w:rsidP="00BB4567">
      <w:pPr>
        <w:pStyle w:val="Cuerpo"/>
        <w:jc w:val="both"/>
        <w:rPr>
          <w:rFonts w:ascii="Tahoma" w:hAnsi="Tahoma" w:cs="Tahoma"/>
          <w:bCs/>
          <w:lang w:val="de-DE"/>
        </w:rPr>
      </w:pPr>
      <w:r w:rsidRPr="00BB4567">
        <w:rPr>
          <w:rFonts w:ascii="Tahoma" w:hAnsi="Tahoma" w:cs="Tahoma"/>
          <w:bCs/>
          <w:lang w:val="de-DE"/>
        </w:rPr>
        <w:t>Igualmente, las entidades municipales, distritales</w:t>
      </w:r>
      <w:r w:rsidR="0002105F">
        <w:rPr>
          <w:rFonts w:ascii="Tahoma" w:hAnsi="Tahoma" w:cs="Tahoma"/>
          <w:bCs/>
          <w:lang w:val="de-DE"/>
        </w:rPr>
        <w:t>,</w:t>
      </w:r>
      <w:r>
        <w:rPr>
          <w:rFonts w:ascii="Tahoma" w:hAnsi="Tahoma" w:cs="Tahoma"/>
          <w:bCs/>
          <w:lang w:val="de-DE"/>
        </w:rPr>
        <w:t xml:space="preserve"> </w:t>
      </w:r>
      <w:r w:rsidRPr="00BB4567">
        <w:rPr>
          <w:rFonts w:ascii="Tahoma" w:hAnsi="Tahoma" w:cs="Tahoma"/>
          <w:b/>
          <w:bCs/>
          <w:u w:val="single"/>
          <w:lang w:val="de-DE"/>
        </w:rPr>
        <w:t>departamentales</w:t>
      </w:r>
      <w:r w:rsidRPr="00BB4567">
        <w:rPr>
          <w:rFonts w:ascii="Tahoma" w:hAnsi="Tahoma" w:cs="Tahoma"/>
          <w:bCs/>
          <w:lang w:val="de-DE"/>
        </w:rPr>
        <w:t xml:space="preserve"> y las áreas metropolitanas podrán participar en la ejecución de proyectos de urbanización y programas de vivienda de interés social, mediante la celebración, entre otros, de contratos de fiducia con sujeción a las reglas generales y del derecho comercial.</w:t>
      </w:r>
    </w:p>
    <w:p w:rsidR="00BB4567" w:rsidRPr="00BB4567" w:rsidRDefault="00BB4567" w:rsidP="00BB4567">
      <w:pPr>
        <w:pStyle w:val="Cuerpo"/>
        <w:jc w:val="both"/>
        <w:rPr>
          <w:rFonts w:ascii="Tahoma" w:hAnsi="Tahoma" w:cs="Tahoma"/>
          <w:bCs/>
          <w:lang w:val="de-DE"/>
        </w:rPr>
      </w:pPr>
    </w:p>
    <w:p w:rsidR="00C539BD" w:rsidRDefault="00C539BD">
      <w:pPr>
        <w:pStyle w:val="Cuerpo"/>
        <w:rPr>
          <w:rFonts w:ascii="Arial" w:eastAsia="Arial" w:hAnsi="Arial" w:cs="Arial"/>
          <w:b/>
          <w:bCs/>
        </w:rPr>
      </w:pPr>
    </w:p>
    <w:p w:rsidR="00B60FEE" w:rsidRDefault="000B3A9B">
      <w:pPr>
        <w:pStyle w:val="Cuerpo"/>
        <w:rPr>
          <w:rFonts w:ascii="Arial" w:eastAsia="Arial" w:hAnsi="Arial" w:cs="Arial"/>
          <w:b/>
          <w:bCs/>
          <w:sz w:val="20"/>
          <w:szCs w:val="20"/>
        </w:rPr>
      </w:pPr>
      <w:r>
        <w:rPr>
          <w:noProof/>
        </w:rPr>
        <w:drawing>
          <wp:anchor distT="0" distB="0" distL="114300" distR="114300" simplePos="0" relativeHeight="251661312" behindDoc="1" locked="0" layoutInCell="1" allowOverlap="1" wp14:anchorId="66358E5F" wp14:editId="2FA3D111">
            <wp:simplePos x="0" y="0"/>
            <wp:positionH relativeFrom="column">
              <wp:posOffset>0</wp:posOffset>
            </wp:positionH>
            <wp:positionV relativeFrom="paragraph">
              <wp:posOffset>51435</wp:posOffset>
            </wp:positionV>
            <wp:extent cx="2025650" cy="70421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025650" cy="704215"/>
                    </a:xfrm>
                    <a:prstGeom prst="rect">
                      <a:avLst/>
                    </a:prstGeom>
                  </pic:spPr>
                </pic:pic>
              </a:graphicData>
            </a:graphic>
          </wp:anchor>
        </w:drawing>
      </w:r>
      <w:r w:rsidR="00B60FEE" w:rsidRPr="00B60FEE">
        <w:rPr>
          <w:rFonts w:ascii="Arial" w:eastAsia="Arial" w:hAnsi="Arial" w:cs="Arial"/>
          <w:b/>
          <w:bCs/>
          <w:noProof/>
          <w:sz w:val="20"/>
          <w:szCs w:val="20"/>
        </w:rPr>
        <w:drawing>
          <wp:inline distT="0" distB="0" distL="0" distR="0">
            <wp:extent cx="2209800" cy="125850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9258" cy="1275278"/>
                    </a:xfrm>
                    <a:prstGeom prst="rect">
                      <a:avLst/>
                    </a:prstGeom>
                    <a:noFill/>
                    <a:ln>
                      <a:noFill/>
                    </a:ln>
                  </pic:spPr>
                </pic:pic>
              </a:graphicData>
            </a:graphic>
          </wp:inline>
        </w:drawing>
      </w:r>
    </w:p>
    <w:p w:rsidR="00B60FEE" w:rsidRPr="00B60FEE" w:rsidRDefault="00B60FEE">
      <w:pPr>
        <w:pStyle w:val="Cuerpo"/>
        <w:rPr>
          <w:rFonts w:ascii="Arial" w:eastAsia="Arial" w:hAnsi="Arial" w:cs="Arial"/>
          <w:b/>
          <w:bCs/>
          <w:szCs w:val="20"/>
        </w:rPr>
      </w:pPr>
      <w:r w:rsidRPr="00B60FEE">
        <w:rPr>
          <w:rFonts w:ascii="Arial" w:eastAsia="Arial" w:hAnsi="Arial" w:cs="Arial"/>
          <w:b/>
          <w:bCs/>
          <w:szCs w:val="20"/>
        </w:rPr>
        <w:t>JAIME RODRIGUEZ CONTRERAS</w:t>
      </w:r>
    </w:p>
    <w:p w:rsidR="00B60FEE" w:rsidRPr="00B60FEE" w:rsidRDefault="00B60FEE">
      <w:pPr>
        <w:pStyle w:val="Cuerpo"/>
        <w:rPr>
          <w:rFonts w:ascii="Arial" w:eastAsia="Arial" w:hAnsi="Arial" w:cs="Arial"/>
          <w:bCs/>
          <w:szCs w:val="20"/>
        </w:rPr>
      </w:pPr>
      <w:r w:rsidRPr="00B60FEE">
        <w:rPr>
          <w:rFonts w:ascii="Arial" w:eastAsia="Arial" w:hAnsi="Arial" w:cs="Arial"/>
          <w:bCs/>
          <w:szCs w:val="20"/>
        </w:rPr>
        <w:t>Representante a la Cámara</w:t>
      </w:r>
    </w:p>
    <w:p w:rsidR="00B60FEE" w:rsidRPr="00B60FEE" w:rsidRDefault="00B60FEE">
      <w:pPr>
        <w:pStyle w:val="Cuerpo"/>
        <w:rPr>
          <w:rFonts w:ascii="Arial" w:eastAsia="Arial" w:hAnsi="Arial" w:cs="Arial"/>
          <w:bCs/>
          <w:szCs w:val="20"/>
        </w:rPr>
      </w:pPr>
      <w:r w:rsidRPr="00B60FEE">
        <w:rPr>
          <w:rFonts w:ascii="Arial" w:eastAsia="Arial" w:hAnsi="Arial" w:cs="Arial"/>
          <w:bCs/>
          <w:szCs w:val="20"/>
        </w:rPr>
        <w:t>Departamento del Meta</w:t>
      </w:r>
    </w:p>
    <w:p w:rsidR="00C539BD" w:rsidRPr="00B60FEE" w:rsidRDefault="00C539BD">
      <w:pPr>
        <w:pStyle w:val="Cuerpo"/>
        <w:rPr>
          <w:rFonts w:ascii="Arial" w:eastAsia="Arial" w:hAnsi="Arial" w:cs="Arial"/>
          <w:b/>
          <w:bCs/>
          <w:szCs w:val="20"/>
        </w:rPr>
      </w:pPr>
    </w:p>
    <w:p w:rsidR="00C539BD" w:rsidRDefault="00C539BD">
      <w:pPr>
        <w:pStyle w:val="Cuerpo"/>
        <w:rPr>
          <w:rFonts w:ascii="Arial" w:eastAsia="Arial" w:hAnsi="Arial" w:cs="Arial"/>
          <w:b/>
          <w:bCs/>
          <w:sz w:val="20"/>
          <w:szCs w:val="20"/>
        </w:rPr>
      </w:pPr>
    </w:p>
    <w:p w:rsidR="00C539BD" w:rsidRDefault="00C539BD">
      <w:pPr>
        <w:pStyle w:val="Cuerpo"/>
        <w:rPr>
          <w:rFonts w:ascii="Arial" w:eastAsia="Arial" w:hAnsi="Arial" w:cs="Arial"/>
          <w:b/>
          <w:bCs/>
          <w:sz w:val="20"/>
          <w:szCs w:val="20"/>
        </w:rPr>
      </w:pPr>
    </w:p>
    <w:p w:rsidR="00C539BD" w:rsidRDefault="00C539BD">
      <w:pPr>
        <w:pStyle w:val="Cuerpo"/>
        <w:rPr>
          <w:rFonts w:ascii="Arial" w:eastAsia="Arial" w:hAnsi="Arial" w:cs="Arial"/>
          <w:b/>
          <w:bCs/>
          <w:sz w:val="20"/>
          <w:szCs w:val="20"/>
        </w:rPr>
      </w:pPr>
    </w:p>
    <w:p w:rsidR="00C539BD" w:rsidRDefault="00C539BD">
      <w:pPr>
        <w:pStyle w:val="Cuerpo"/>
      </w:pPr>
    </w:p>
    <w:sectPr w:rsidR="00C539BD">
      <w:headerReference w:type="default" r:id="rId8"/>
      <w:footerReference w:type="default" r:id="rId9"/>
      <w:pgSz w:w="12240" w:h="15840"/>
      <w:pgMar w:top="1418" w:right="1701" w:bottom="1418"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E26" w:rsidRDefault="00DE0E26">
      <w:r>
        <w:separator/>
      </w:r>
    </w:p>
  </w:endnote>
  <w:endnote w:type="continuationSeparator" w:id="0">
    <w:p w:rsidR="00DE0E26" w:rsidRDefault="00DE0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logger Sans">
    <w:altName w:val="Cambria"/>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9BD" w:rsidRDefault="0071021A" w:rsidP="0071021A">
    <w:pPr>
      <w:pStyle w:val="Cabeceraypie"/>
      <w:jc w:val="center"/>
    </w:pPr>
    <w:r w:rsidRPr="0071021A">
      <w:rPr>
        <w:rFonts w:ascii="Calibri" w:eastAsia="Calibri" w:hAnsi="Calibri" w:cs="Times New Roman"/>
        <w:noProof/>
        <w:color w:val="auto"/>
        <w:sz w:val="22"/>
        <w:szCs w:val="22"/>
        <w:bdr w:val="none" w:sz="0" w:space="0" w:color="auto"/>
      </w:rPr>
      <w:drawing>
        <wp:inline distT="0" distB="0" distL="0" distR="0" wp14:anchorId="5F386CA1" wp14:editId="12AC3C40">
          <wp:extent cx="3116580" cy="264160"/>
          <wp:effectExtent l="19050" t="0" r="762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116580" cy="26416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E26" w:rsidRDefault="00DE0E26">
      <w:r>
        <w:separator/>
      </w:r>
    </w:p>
  </w:footnote>
  <w:footnote w:type="continuationSeparator" w:id="0">
    <w:p w:rsidR="00DE0E26" w:rsidRDefault="00DE0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9BD" w:rsidRDefault="00DE0E26">
    <w:pPr>
      <w:pStyle w:val="Encabezado"/>
      <w:tabs>
        <w:tab w:val="clear" w:pos="8838"/>
        <w:tab w:val="right" w:pos="8818"/>
      </w:tabs>
    </w:pPr>
    <w:r>
      <w:rPr>
        <w:noProof/>
        <w:lang w:val="es-CO"/>
      </w:rPr>
      <w:drawing>
        <wp:anchor distT="152400" distB="152400" distL="152400" distR="152400" simplePos="0" relativeHeight="251658240" behindDoc="1" locked="0" layoutInCell="1" allowOverlap="1">
          <wp:simplePos x="0" y="0"/>
          <wp:positionH relativeFrom="page">
            <wp:posOffset>2933700</wp:posOffset>
          </wp:positionH>
          <wp:positionV relativeFrom="page">
            <wp:posOffset>457835</wp:posOffset>
          </wp:positionV>
          <wp:extent cx="2305050" cy="680932"/>
          <wp:effectExtent l="0" t="0" r="0" b="0"/>
          <wp:wrapNone/>
          <wp:docPr id="1073741825" name="officeArt object" descr="Home"/>
          <wp:cNvGraphicFramePr/>
          <a:graphic xmlns:a="http://schemas.openxmlformats.org/drawingml/2006/main">
            <a:graphicData uri="http://schemas.openxmlformats.org/drawingml/2006/picture">
              <pic:pic xmlns:pic="http://schemas.openxmlformats.org/drawingml/2006/picture">
                <pic:nvPicPr>
                  <pic:cNvPr id="1073741825" name="image1.png" descr="Home"/>
                  <pic:cNvPicPr/>
                </pic:nvPicPr>
                <pic:blipFill>
                  <a:blip r:embed="rId1">
                    <a:extLst/>
                  </a:blip>
                  <a:stretch>
                    <a:fillRect/>
                  </a:stretch>
                </pic:blipFill>
                <pic:spPr>
                  <a:xfrm>
                    <a:off x="0" y="0"/>
                    <a:ext cx="2305050" cy="680932"/>
                  </a:xfrm>
                  <a:prstGeom prst="rect">
                    <a:avLst/>
                  </a:prstGeom>
                  <a:ln w="12700" cap="flat">
                    <a:noFill/>
                    <a:miter lim="400000"/>
                  </a:ln>
                  <a:effectLst/>
                </pic:spPr>
              </pic:pic>
            </a:graphicData>
          </a:graphic>
        </wp:anchor>
      </w:drawing>
    </w:r>
  </w:p>
  <w:p w:rsidR="00C539BD" w:rsidRDefault="00C539BD">
    <w:pPr>
      <w:pStyle w:val="Encabezado"/>
      <w:tabs>
        <w:tab w:val="clear" w:pos="8838"/>
        <w:tab w:val="right" w:pos="8818"/>
      </w:tabs>
      <w:jc w:val="center"/>
    </w:pPr>
  </w:p>
  <w:p w:rsidR="00C539BD" w:rsidRDefault="00C539BD">
    <w:pPr>
      <w:pStyle w:val="Encabezado"/>
      <w:tabs>
        <w:tab w:val="clear" w:pos="8838"/>
        <w:tab w:val="right" w:pos="8818"/>
      </w:tabs>
      <w:jc w:val="right"/>
    </w:pPr>
  </w:p>
  <w:p w:rsidR="00C539BD" w:rsidRDefault="00C539BD">
    <w:pPr>
      <w:pStyle w:val="Encabezado"/>
      <w:tabs>
        <w:tab w:val="clear" w:pos="8838"/>
        <w:tab w:val="right" w:pos="8818"/>
      </w:tabs>
      <w:jc w:val="right"/>
    </w:pPr>
  </w:p>
  <w:p w:rsidR="00C539BD" w:rsidRDefault="00C539BD">
    <w:pPr>
      <w:pStyle w:val="Encabezado"/>
      <w:tabs>
        <w:tab w:val="clear" w:pos="8838"/>
        <w:tab w:val="right" w:pos="8818"/>
      </w:tabs>
      <w:jc w:val="center"/>
    </w:pPr>
  </w:p>
  <w:p w:rsidR="00C539BD" w:rsidRDefault="0071021A" w:rsidP="0071021A">
    <w:pPr>
      <w:pStyle w:val="Encabezado"/>
      <w:tabs>
        <w:tab w:val="clear" w:pos="8838"/>
        <w:tab w:val="right" w:pos="8818"/>
      </w:tabs>
      <w:jc w:val="center"/>
      <w:rPr>
        <w:rFonts w:ascii="Blogger Sans" w:eastAsia="Blogger Sans" w:hAnsi="Blogger Sans" w:cs="Blogger Sans"/>
        <w:sz w:val="24"/>
        <w:szCs w:val="24"/>
      </w:rPr>
    </w:pPr>
    <w:r>
      <w:rPr>
        <w:rFonts w:ascii="Blogger Sans" w:eastAsia="Blogger Sans" w:hAnsi="Blogger Sans" w:cs="Blogger Sans"/>
        <w:sz w:val="24"/>
        <w:szCs w:val="24"/>
      </w:rPr>
      <w:t xml:space="preserve">           </w:t>
    </w:r>
    <w:r w:rsidR="00DE0E26">
      <w:rPr>
        <w:rFonts w:ascii="Blogger Sans" w:eastAsia="Blogger Sans" w:hAnsi="Blogger Sans" w:cs="Blogger Sans"/>
        <w:sz w:val="24"/>
        <w:szCs w:val="24"/>
      </w:rPr>
      <w:t>AQUI VIVE LA DEMOCRACIA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9BD"/>
    <w:rsid w:val="0002105F"/>
    <w:rsid w:val="000B3A9B"/>
    <w:rsid w:val="0071021A"/>
    <w:rsid w:val="00B60FEE"/>
    <w:rsid w:val="00BB4567"/>
    <w:rsid w:val="00C539BD"/>
    <w:rsid w:val="00DE0E2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4F731B-39EE-43F9-9CC0-6C6964FBA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419"/>
        <w:tab w:val="right" w:pos="8838"/>
      </w:tabs>
    </w:pPr>
    <w:rPr>
      <w:rFonts w:ascii="Calibri" w:eastAsia="Calibri" w:hAnsi="Calibri" w:cs="Calibri"/>
      <w:color w:val="000000"/>
      <w:sz w:val="22"/>
      <w:szCs w:val="22"/>
      <w:u w:color="000000"/>
      <w:lang w:val="es-ES_tradnl"/>
    </w:rPr>
  </w:style>
  <w:style w:type="paragraph" w:customStyle="1" w:styleId="Cabeceraypie">
    <w:name w:val="Cabecera y pie"/>
    <w:pPr>
      <w:tabs>
        <w:tab w:val="right" w:pos="9020"/>
      </w:tabs>
    </w:pPr>
    <w:rPr>
      <w:rFonts w:ascii="Helvetica" w:eastAsia="Helvetica" w:hAnsi="Helvetica" w:cs="Helvetica"/>
      <w:color w:val="000000"/>
      <w:sz w:val="24"/>
      <w:szCs w:val="24"/>
    </w:rPr>
  </w:style>
  <w:style w:type="paragraph" w:customStyle="1" w:styleId="Cuerpo">
    <w:name w:val="Cuerpo"/>
    <w:rPr>
      <w:rFonts w:eastAsia="Times New Roman"/>
      <w:color w:val="000000"/>
      <w:sz w:val="24"/>
      <w:szCs w:val="24"/>
      <w:u w:color="000000"/>
    </w:rPr>
  </w:style>
  <w:style w:type="paragraph" w:styleId="Piedepgina">
    <w:name w:val="footer"/>
    <w:basedOn w:val="Normal"/>
    <w:link w:val="PiedepginaCar"/>
    <w:uiPriority w:val="99"/>
    <w:unhideWhenUsed/>
    <w:rsid w:val="0071021A"/>
    <w:pPr>
      <w:tabs>
        <w:tab w:val="center" w:pos="4419"/>
        <w:tab w:val="right" w:pos="8838"/>
      </w:tabs>
    </w:pPr>
  </w:style>
  <w:style w:type="character" w:customStyle="1" w:styleId="PiedepginaCar">
    <w:name w:val="Pie de página Car"/>
    <w:basedOn w:val="Fuentedeprrafopredeter"/>
    <w:link w:val="Piedepgina"/>
    <w:uiPriority w:val="99"/>
    <w:rsid w:val="0071021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437</Words>
  <Characters>2409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Blanco</dc:creator>
  <cp:lastModifiedBy>claudia salamanca</cp:lastModifiedBy>
  <cp:revision>3</cp:revision>
  <dcterms:created xsi:type="dcterms:W3CDTF">2020-10-29T15:41:00Z</dcterms:created>
  <dcterms:modified xsi:type="dcterms:W3CDTF">2020-10-29T15:51:00Z</dcterms:modified>
</cp:coreProperties>
</file>